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Ind w:w="-1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6"/>
        <w:gridCol w:w="6251"/>
      </w:tblGrid>
      <w:tr w:rsidR="005331B6" w:rsidTr="005331B6">
        <w:trPr>
          <w:trHeight w:val="1701"/>
          <w:jc w:val="center"/>
        </w:trPr>
        <w:tc>
          <w:tcPr>
            <w:tcW w:w="2266" w:type="dxa"/>
          </w:tcPr>
          <w:p w:rsidR="005331B6" w:rsidRDefault="005331B6" w:rsidP="00A73FFE">
            <w:pPr>
              <w:jc w:val="left"/>
              <w:rPr>
                <w:b/>
                <w:sz w:val="16"/>
                <w:szCs w:val="16"/>
              </w:rPr>
            </w:pPr>
            <w:r w:rsidRPr="005331B6">
              <w:rPr>
                <w:b/>
                <w:noProof/>
                <w:sz w:val="16"/>
                <w:szCs w:val="16"/>
                <w:lang w:eastAsia="fr-FR"/>
              </w:rPr>
              <w:drawing>
                <wp:inline distT="0" distB="0" distL="0" distR="0">
                  <wp:extent cx="1123950" cy="1123950"/>
                  <wp:effectExtent l="19050" t="0" r="0" b="0"/>
                  <wp:docPr id="10" name="Image 0" descr="Logo PLM mai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M mai 2013.png"/>
                          <pic:cNvPicPr/>
                        </pic:nvPicPr>
                        <pic:blipFill>
                          <a:blip r:embed="rId5" cstate="print"/>
                          <a:stretch>
                            <a:fillRect/>
                          </a:stretch>
                        </pic:blipFill>
                        <pic:spPr>
                          <a:xfrm>
                            <a:off x="0" y="0"/>
                            <a:ext cx="1125705" cy="1125705"/>
                          </a:xfrm>
                          <a:prstGeom prst="rect">
                            <a:avLst/>
                          </a:prstGeom>
                        </pic:spPr>
                      </pic:pic>
                    </a:graphicData>
                  </a:graphic>
                </wp:inline>
              </w:drawing>
            </w:r>
          </w:p>
        </w:tc>
        <w:tc>
          <w:tcPr>
            <w:tcW w:w="6251" w:type="dxa"/>
          </w:tcPr>
          <w:p w:rsidR="005331B6" w:rsidRDefault="005331B6" w:rsidP="005331B6">
            <w:pPr>
              <w:jc w:val="center"/>
              <w:rPr>
                <w:b/>
                <w:sz w:val="28"/>
                <w:szCs w:val="28"/>
              </w:rPr>
            </w:pPr>
          </w:p>
          <w:p w:rsidR="005331B6" w:rsidRPr="00A73FFE" w:rsidRDefault="005331B6" w:rsidP="005331B6">
            <w:pPr>
              <w:jc w:val="center"/>
              <w:rPr>
                <w:b/>
                <w:sz w:val="28"/>
                <w:szCs w:val="28"/>
              </w:rPr>
            </w:pPr>
            <w:r w:rsidRPr="00A73FFE">
              <w:rPr>
                <w:b/>
                <w:sz w:val="28"/>
                <w:szCs w:val="28"/>
              </w:rPr>
              <w:t>Chantier d’insertion Piège Lauragais Malepère</w:t>
            </w:r>
          </w:p>
          <w:p w:rsidR="005331B6" w:rsidRDefault="005331B6" w:rsidP="005331B6">
            <w:pPr>
              <w:jc w:val="center"/>
              <w:rPr>
                <w:b/>
                <w:sz w:val="24"/>
                <w:szCs w:val="24"/>
              </w:rPr>
            </w:pPr>
          </w:p>
          <w:p w:rsidR="005331B6" w:rsidRPr="005331B6" w:rsidRDefault="00277D80" w:rsidP="005331B6">
            <w:pPr>
              <w:jc w:val="center"/>
              <w:rPr>
                <w:b/>
                <w:sz w:val="24"/>
                <w:szCs w:val="24"/>
              </w:rPr>
            </w:pPr>
            <w:r>
              <w:rPr>
                <w:b/>
                <w:sz w:val="24"/>
                <w:szCs w:val="24"/>
              </w:rPr>
              <w:t>Ouvrière/o</w:t>
            </w:r>
            <w:r w:rsidR="005331B6" w:rsidRPr="005331B6">
              <w:rPr>
                <w:b/>
                <w:sz w:val="24"/>
                <w:szCs w:val="24"/>
              </w:rPr>
              <w:t xml:space="preserve">uvrier </w:t>
            </w:r>
            <w:r w:rsidR="003118CB">
              <w:rPr>
                <w:b/>
                <w:sz w:val="24"/>
                <w:szCs w:val="24"/>
              </w:rPr>
              <w:t>polyvalent du bâtiment</w:t>
            </w:r>
            <w:r w:rsidR="005331B6" w:rsidRPr="005331B6">
              <w:rPr>
                <w:b/>
                <w:sz w:val="24"/>
                <w:szCs w:val="24"/>
              </w:rPr>
              <w:t xml:space="preserve"> – Fiche de poste</w:t>
            </w:r>
          </w:p>
          <w:p w:rsidR="005331B6" w:rsidRDefault="005331B6" w:rsidP="00082529">
            <w:pPr>
              <w:jc w:val="center"/>
              <w:rPr>
                <w:b/>
                <w:sz w:val="16"/>
                <w:szCs w:val="16"/>
              </w:rPr>
            </w:pPr>
          </w:p>
        </w:tc>
      </w:tr>
    </w:tbl>
    <w:p w:rsidR="00A73FFE" w:rsidRDefault="00A73FFE" w:rsidP="00082529">
      <w:pPr>
        <w:jc w:val="center"/>
        <w:rPr>
          <w:b/>
          <w:sz w:val="16"/>
          <w:szCs w:val="16"/>
        </w:rPr>
      </w:pPr>
    </w:p>
    <w:p w:rsidR="00174A2F" w:rsidRPr="00A73FFE" w:rsidRDefault="00174A2F">
      <w:pPr>
        <w:rPr>
          <w:sz w:val="16"/>
          <w:szCs w:val="16"/>
        </w:rPr>
      </w:pPr>
    </w:p>
    <w:p w:rsidR="007A25D9" w:rsidRPr="00A73FFE" w:rsidRDefault="007A25D9">
      <w:pPr>
        <w:rPr>
          <w:b/>
          <w:sz w:val="24"/>
          <w:szCs w:val="24"/>
        </w:rPr>
      </w:pPr>
      <w:r w:rsidRPr="00A73FFE">
        <w:rPr>
          <w:b/>
          <w:sz w:val="24"/>
          <w:szCs w:val="24"/>
        </w:rPr>
        <w:t>Employeur :</w:t>
      </w:r>
    </w:p>
    <w:p w:rsidR="007A25D9" w:rsidRPr="00174A2F" w:rsidRDefault="007A25D9">
      <w:pPr>
        <w:rPr>
          <w:sz w:val="16"/>
          <w:szCs w:val="16"/>
        </w:rPr>
      </w:pPr>
      <w:r w:rsidRPr="00174A2F">
        <w:rPr>
          <w:sz w:val="16"/>
          <w:szCs w:val="16"/>
        </w:rPr>
        <w:t>Communauté de communes Piège Lauragais Malepère, 62 rue Bonrepos, 11150 Bram, représentée par son président</w:t>
      </w:r>
      <w:r w:rsidR="00174A2F">
        <w:rPr>
          <w:sz w:val="16"/>
          <w:szCs w:val="16"/>
        </w:rPr>
        <w:t>,</w:t>
      </w:r>
      <w:r w:rsidRPr="00174A2F">
        <w:rPr>
          <w:sz w:val="16"/>
          <w:szCs w:val="16"/>
        </w:rPr>
        <w:t xml:space="preserve"> André VIOLA</w:t>
      </w:r>
      <w:r w:rsidR="00082529" w:rsidRPr="00174A2F">
        <w:rPr>
          <w:sz w:val="16"/>
          <w:szCs w:val="16"/>
        </w:rPr>
        <w:t>.</w:t>
      </w:r>
    </w:p>
    <w:p w:rsidR="00082529" w:rsidRDefault="00082529">
      <w:pPr>
        <w:rPr>
          <w:sz w:val="20"/>
          <w:szCs w:val="20"/>
        </w:rPr>
      </w:pPr>
    </w:p>
    <w:p w:rsidR="00A10DAE" w:rsidRPr="00A73FFE" w:rsidRDefault="00A10DAE" w:rsidP="00A10DAE">
      <w:pPr>
        <w:rPr>
          <w:b/>
          <w:sz w:val="24"/>
          <w:szCs w:val="24"/>
        </w:rPr>
      </w:pPr>
      <w:r w:rsidRPr="00A73FFE">
        <w:rPr>
          <w:b/>
          <w:sz w:val="24"/>
          <w:szCs w:val="24"/>
        </w:rPr>
        <w:t>Type de contrat :</w:t>
      </w:r>
    </w:p>
    <w:p w:rsidR="00A10DAE" w:rsidRDefault="00A10DAE" w:rsidP="00A10DAE">
      <w:pPr>
        <w:rPr>
          <w:sz w:val="16"/>
          <w:szCs w:val="16"/>
        </w:rPr>
      </w:pPr>
      <w:r w:rsidRPr="00174A2F">
        <w:rPr>
          <w:sz w:val="16"/>
          <w:szCs w:val="16"/>
        </w:rPr>
        <w:t>C</w:t>
      </w:r>
      <w:r>
        <w:rPr>
          <w:sz w:val="16"/>
          <w:szCs w:val="16"/>
        </w:rPr>
        <w:t xml:space="preserve">ontrat à </w:t>
      </w:r>
      <w:r w:rsidRPr="00174A2F">
        <w:rPr>
          <w:sz w:val="16"/>
          <w:szCs w:val="16"/>
        </w:rPr>
        <w:t>D</w:t>
      </w:r>
      <w:r>
        <w:rPr>
          <w:sz w:val="16"/>
          <w:szCs w:val="16"/>
        </w:rPr>
        <w:t xml:space="preserve">urée </w:t>
      </w:r>
      <w:r w:rsidRPr="00174A2F">
        <w:rPr>
          <w:sz w:val="16"/>
          <w:szCs w:val="16"/>
        </w:rPr>
        <w:t>D</w:t>
      </w:r>
      <w:r>
        <w:rPr>
          <w:sz w:val="16"/>
          <w:szCs w:val="16"/>
        </w:rPr>
        <w:t>éterminé d’</w:t>
      </w:r>
      <w:r w:rsidRPr="00174A2F">
        <w:rPr>
          <w:sz w:val="16"/>
          <w:szCs w:val="16"/>
        </w:rPr>
        <w:t>I</w:t>
      </w:r>
      <w:r>
        <w:rPr>
          <w:sz w:val="16"/>
          <w:szCs w:val="16"/>
        </w:rPr>
        <w:t>nsertion</w:t>
      </w:r>
      <w:r w:rsidRPr="00174A2F">
        <w:rPr>
          <w:sz w:val="16"/>
          <w:szCs w:val="16"/>
        </w:rPr>
        <w:t>, 26 heures/semaine, rémunération SMIC horaire (863 € net / mois)</w:t>
      </w:r>
      <w:r>
        <w:rPr>
          <w:sz w:val="16"/>
          <w:szCs w:val="16"/>
        </w:rPr>
        <w:t>,</w:t>
      </w:r>
      <w:r w:rsidRPr="00174A2F">
        <w:rPr>
          <w:sz w:val="16"/>
          <w:szCs w:val="16"/>
        </w:rPr>
        <w:t xml:space="preserve"> CDD de 6 mois, renouvelable une fois</w:t>
      </w:r>
      <w:r>
        <w:rPr>
          <w:sz w:val="16"/>
          <w:szCs w:val="16"/>
        </w:rPr>
        <w:t xml:space="preserve">. </w:t>
      </w:r>
      <w:r w:rsidRPr="00174A2F">
        <w:rPr>
          <w:sz w:val="16"/>
          <w:szCs w:val="16"/>
        </w:rPr>
        <w:t xml:space="preserve">Le CDD est renouvelé au vu des résultats sur la résolution des problématiques professionnelles et sociales, ainsi que de l’implication sur le chantier. </w:t>
      </w:r>
    </w:p>
    <w:p w:rsidR="00A10DAE" w:rsidRDefault="00A10DAE">
      <w:pPr>
        <w:rPr>
          <w:sz w:val="20"/>
          <w:szCs w:val="20"/>
        </w:rPr>
      </w:pPr>
    </w:p>
    <w:p w:rsidR="00277D80" w:rsidRPr="00277D80" w:rsidRDefault="00277D80">
      <w:pPr>
        <w:rPr>
          <w:b/>
          <w:sz w:val="24"/>
          <w:szCs w:val="24"/>
        </w:rPr>
      </w:pPr>
      <w:r w:rsidRPr="00277D80">
        <w:rPr>
          <w:b/>
          <w:sz w:val="24"/>
          <w:szCs w:val="24"/>
        </w:rPr>
        <w:t>Tâches à réaliser</w:t>
      </w:r>
    </w:p>
    <w:p w:rsidR="00277D80" w:rsidRPr="00277D80" w:rsidRDefault="003118CB">
      <w:pPr>
        <w:rPr>
          <w:b/>
          <w:i/>
          <w:sz w:val="20"/>
          <w:szCs w:val="20"/>
        </w:rPr>
      </w:pPr>
      <w:r>
        <w:rPr>
          <w:b/>
          <w:i/>
          <w:sz w:val="20"/>
          <w:szCs w:val="20"/>
        </w:rPr>
        <w:t xml:space="preserve">Gros </w:t>
      </w:r>
      <w:r w:rsidR="001C0BC1">
        <w:rPr>
          <w:b/>
          <w:i/>
          <w:sz w:val="20"/>
          <w:szCs w:val="20"/>
        </w:rPr>
        <w:t>œuvre</w:t>
      </w:r>
    </w:p>
    <w:p w:rsidR="00277D80" w:rsidRDefault="008239BD" w:rsidP="00277D80">
      <w:pPr>
        <w:ind w:left="567"/>
        <w:rPr>
          <w:sz w:val="20"/>
          <w:szCs w:val="20"/>
        </w:rPr>
      </w:pPr>
      <w:r>
        <w:rPr>
          <w:sz w:val="20"/>
          <w:szCs w:val="20"/>
        </w:rPr>
        <w:t>Fondations, dalles, chapes béton</w:t>
      </w:r>
    </w:p>
    <w:p w:rsidR="008239BD" w:rsidRDefault="008239BD" w:rsidP="00277D80">
      <w:pPr>
        <w:ind w:left="567"/>
        <w:rPr>
          <w:sz w:val="20"/>
          <w:szCs w:val="20"/>
        </w:rPr>
      </w:pPr>
      <w:r>
        <w:rPr>
          <w:sz w:val="20"/>
          <w:szCs w:val="20"/>
        </w:rPr>
        <w:t>Murs parpaing et pierre</w:t>
      </w:r>
      <w:r w:rsidR="00221584">
        <w:rPr>
          <w:sz w:val="20"/>
          <w:szCs w:val="20"/>
        </w:rPr>
        <w:t>, enduits extérieurs, rejointoiement</w:t>
      </w:r>
    </w:p>
    <w:p w:rsidR="00277D80" w:rsidRPr="00277D80" w:rsidRDefault="00277D80">
      <w:pPr>
        <w:rPr>
          <w:b/>
          <w:i/>
          <w:sz w:val="20"/>
          <w:szCs w:val="20"/>
        </w:rPr>
      </w:pPr>
      <w:r w:rsidRPr="00277D80">
        <w:rPr>
          <w:b/>
          <w:i/>
          <w:sz w:val="20"/>
          <w:szCs w:val="20"/>
        </w:rPr>
        <w:t>2</w:t>
      </w:r>
      <w:r w:rsidRPr="00277D80">
        <w:rPr>
          <w:b/>
          <w:i/>
          <w:sz w:val="20"/>
          <w:szCs w:val="20"/>
          <w:vertAlign w:val="superscript"/>
        </w:rPr>
        <w:t>nd</w:t>
      </w:r>
      <w:r w:rsidRPr="00277D80">
        <w:rPr>
          <w:b/>
          <w:i/>
          <w:sz w:val="20"/>
          <w:szCs w:val="20"/>
        </w:rPr>
        <w:t xml:space="preserve"> œuvre</w:t>
      </w:r>
    </w:p>
    <w:p w:rsidR="00221584" w:rsidRDefault="00221584" w:rsidP="00221584">
      <w:pPr>
        <w:ind w:left="567"/>
        <w:rPr>
          <w:sz w:val="20"/>
          <w:szCs w:val="20"/>
        </w:rPr>
      </w:pPr>
      <w:r>
        <w:rPr>
          <w:sz w:val="20"/>
          <w:szCs w:val="20"/>
        </w:rPr>
        <w:t>Peinture, tapisserie, décoration</w:t>
      </w:r>
    </w:p>
    <w:p w:rsidR="00221584" w:rsidRDefault="00221584" w:rsidP="00221584">
      <w:pPr>
        <w:ind w:left="567"/>
        <w:rPr>
          <w:sz w:val="20"/>
          <w:szCs w:val="20"/>
        </w:rPr>
      </w:pPr>
      <w:r>
        <w:rPr>
          <w:sz w:val="20"/>
          <w:szCs w:val="20"/>
        </w:rPr>
        <w:t xml:space="preserve">Plâtre et </w:t>
      </w:r>
      <w:proofErr w:type="spellStart"/>
      <w:r>
        <w:rPr>
          <w:sz w:val="20"/>
          <w:szCs w:val="20"/>
        </w:rPr>
        <w:t>placo</w:t>
      </w:r>
      <w:proofErr w:type="spellEnd"/>
      <w:r>
        <w:rPr>
          <w:sz w:val="20"/>
          <w:szCs w:val="20"/>
        </w:rPr>
        <w:t>-plâtre</w:t>
      </w:r>
    </w:p>
    <w:p w:rsidR="00221584" w:rsidRDefault="00221584" w:rsidP="00221584">
      <w:pPr>
        <w:ind w:left="567"/>
        <w:rPr>
          <w:sz w:val="20"/>
          <w:szCs w:val="20"/>
        </w:rPr>
      </w:pPr>
      <w:r>
        <w:rPr>
          <w:sz w:val="20"/>
          <w:szCs w:val="20"/>
        </w:rPr>
        <w:t>Enduits intérieurs, jointoiement</w:t>
      </w:r>
    </w:p>
    <w:p w:rsidR="00221584" w:rsidRDefault="00221584" w:rsidP="00221584">
      <w:pPr>
        <w:ind w:left="567"/>
        <w:rPr>
          <w:sz w:val="20"/>
          <w:szCs w:val="20"/>
        </w:rPr>
      </w:pPr>
      <w:r>
        <w:rPr>
          <w:sz w:val="20"/>
          <w:szCs w:val="20"/>
        </w:rPr>
        <w:t>Sols souples, parquets</w:t>
      </w:r>
    </w:p>
    <w:p w:rsidR="00221584" w:rsidRDefault="00221584" w:rsidP="00221584">
      <w:pPr>
        <w:ind w:left="567"/>
        <w:rPr>
          <w:sz w:val="20"/>
          <w:szCs w:val="20"/>
        </w:rPr>
      </w:pPr>
      <w:r>
        <w:rPr>
          <w:sz w:val="20"/>
          <w:szCs w:val="20"/>
        </w:rPr>
        <w:t>Pose de menuiserie</w:t>
      </w:r>
    </w:p>
    <w:p w:rsidR="00174A2F" w:rsidRDefault="00174A2F">
      <w:pPr>
        <w:rPr>
          <w:sz w:val="20"/>
          <w:szCs w:val="20"/>
        </w:rPr>
      </w:pPr>
    </w:p>
    <w:p w:rsidR="00277D80" w:rsidRPr="00277D80" w:rsidRDefault="00277D80">
      <w:pPr>
        <w:rPr>
          <w:b/>
          <w:sz w:val="24"/>
          <w:szCs w:val="24"/>
        </w:rPr>
      </w:pPr>
      <w:r w:rsidRPr="00277D80">
        <w:rPr>
          <w:b/>
          <w:sz w:val="24"/>
          <w:szCs w:val="24"/>
        </w:rPr>
        <w:t xml:space="preserve">Formation technique </w:t>
      </w:r>
      <w:r w:rsidR="000416D8">
        <w:rPr>
          <w:b/>
          <w:sz w:val="24"/>
          <w:szCs w:val="24"/>
        </w:rPr>
        <w:t>CQP maçonnerie générale</w:t>
      </w:r>
      <w:r w:rsidRPr="00277D80">
        <w:rPr>
          <w:b/>
          <w:sz w:val="24"/>
          <w:szCs w:val="24"/>
        </w:rPr>
        <w:t>, 180h/an</w:t>
      </w:r>
    </w:p>
    <w:p w:rsidR="00277D80" w:rsidRDefault="00277D80">
      <w:pPr>
        <w:rPr>
          <w:sz w:val="20"/>
          <w:szCs w:val="20"/>
        </w:rPr>
      </w:pPr>
    </w:p>
    <w:p w:rsidR="00277D80" w:rsidRPr="00277D80" w:rsidRDefault="00277D80">
      <w:pPr>
        <w:rPr>
          <w:b/>
          <w:sz w:val="24"/>
          <w:szCs w:val="24"/>
        </w:rPr>
      </w:pPr>
      <w:r w:rsidRPr="00277D80">
        <w:rPr>
          <w:b/>
          <w:sz w:val="24"/>
          <w:szCs w:val="24"/>
        </w:rPr>
        <w:t>Suivi socioprofessionnel</w:t>
      </w:r>
    </w:p>
    <w:p w:rsidR="00A10DAE" w:rsidRPr="00174A2F" w:rsidRDefault="00A10DAE" w:rsidP="00A10DAE">
      <w:pPr>
        <w:rPr>
          <w:sz w:val="16"/>
          <w:szCs w:val="16"/>
        </w:rPr>
      </w:pPr>
      <w:r w:rsidRPr="00174A2F">
        <w:rPr>
          <w:sz w:val="16"/>
          <w:szCs w:val="16"/>
        </w:rPr>
        <w:t>En entrée de parcours, un bilan de la situation socioprofessionnelle est réalisé avec le salarié (difficultés sociales, problèmes de santé, mobilité, niveau de formation, maîtrise des TRE, motivations pour un projet professionnel, démarches de recherche d’emplois réalisés….). Tout au long de son parcours sur le chantier, le salarié est aidé et conseillé dans ses démarches. Il rend régulièrement compte de ses avancées sur la résolution des problématiques diagnostiquées.</w:t>
      </w:r>
    </w:p>
    <w:p w:rsidR="00174A2F" w:rsidRPr="00A73FFE" w:rsidRDefault="00174A2F">
      <w:pPr>
        <w:rPr>
          <w:sz w:val="20"/>
          <w:szCs w:val="20"/>
        </w:rPr>
      </w:pPr>
    </w:p>
    <w:p w:rsidR="007A25D9" w:rsidRPr="00A73FFE" w:rsidRDefault="00A10DAE">
      <w:pPr>
        <w:rPr>
          <w:b/>
          <w:sz w:val="24"/>
          <w:szCs w:val="24"/>
        </w:rPr>
      </w:pPr>
      <w:r>
        <w:rPr>
          <w:b/>
          <w:sz w:val="24"/>
          <w:szCs w:val="24"/>
        </w:rPr>
        <w:t>Objectifs</w:t>
      </w:r>
      <w:r w:rsidR="007A25D9" w:rsidRPr="00A73FFE">
        <w:rPr>
          <w:b/>
          <w:sz w:val="24"/>
          <w:szCs w:val="24"/>
        </w:rPr>
        <w:t> :</w:t>
      </w:r>
    </w:p>
    <w:p w:rsidR="00A10DAE" w:rsidRDefault="00A10DAE" w:rsidP="00174A2F">
      <w:pPr>
        <w:rPr>
          <w:sz w:val="16"/>
          <w:szCs w:val="16"/>
        </w:rPr>
      </w:pPr>
      <w:r>
        <w:rPr>
          <w:sz w:val="16"/>
          <w:szCs w:val="16"/>
        </w:rPr>
        <w:t>Réussir une « sortie positive » vers l’emploi, la création d’entreprise ou un projet de formation qualifiante, grâce à un accompagnement socioprofessionnel individualisé. Ou définir/élaborer dans les six premiers mois de contrat un projet professionnel réalisable</w:t>
      </w:r>
      <w:r w:rsidR="00584537">
        <w:rPr>
          <w:sz w:val="16"/>
          <w:szCs w:val="16"/>
        </w:rPr>
        <w:t>.</w:t>
      </w:r>
    </w:p>
    <w:p w:rsidR="00A10DAE" w:rsidRDefault="00A10DAE" w:rsidP="00174A2F">
      <w:pPr>
        <w:rPr>
          <w:sz w:val="16"/>
          <w:szCs w:val="16"/>
        </w:rPr>
      </w:pPr>
    </w:p>
    <w:p w:rsidR="002D4F6F" w:rsidRPr="008239BD" w:rsidRDefault="008239BD">
      <w:pPr>
        <w:rPr>
          <w:b/>
          <w:sz w:val="24"/>
          <w:szCs w:val="24"/>
        </w:rPr>
      </w:pPr>
      <w:r w:rsidRPr="008239BD">
        <w:rPr>
          <w:b/>
          <w:sz w:val="24"/>
          <w:szCs w:val="24"/>
        </w:rPr>
        <w:t>Organisation</w:t>
      </w:r>
    </w:p>
    <w:p w:rsidR="00C824B6" w:rsidRDefault="008239BD">
      <w:pPr>
        <w:rPr>
          <w:sz w:val="16"/>
          <w:szCs w:val="16"/>
        </w:rPr>
      </w:pPr>
      <w:r>
        <w:rPr>
          <w:sz w:val="16"/>
          <w:szCs w:val="16"/>
        </w:rPr>
        <w:t>Travail sur chantier 2 à 3 jours par semaine</w:t>
      </w:r>
      <w:r w:rsidR="00221584">
        <w:rPr>
          <w:sz w:val="16"/>
          <w:szCs w:val="16"/>
        </w:rPr>
        <w:t xml:space="preserve"> (avec transport en minibus sur les chantiers, à partir de Bram), entretien socioprofessionnel hebdomadaire à Bram</w:t>
      </w:r>
      <w:r w:rsidR="0087548D">
        <w:rPr>
          <w:sz w:val="16"/>
          <w:szCs w:val="16"/>
        </w:rPr>
        <w:t xml:space="preserve"> et à Carcassonne, formation technique</w:t>
      </w:r>
      <w:r w:rsidR="00221584">
        <w:rPr>
          <w:sz w:val="16"/>
          <w:szCs w:val="16"/>
        </w:rPr>
        <w:t xml:space="preserve"> à Carcassonne</w:t>
      </w:r>
    </w:p>
    <w:p w:rsidR="00221584" w:rsidRPr="008239BD" w:rsidRDefault="00221584">
      <w:pPr>
        <w:rPr>
          <w:sz w:val="16"/>
          <w:szCs w:val="16"/>
        </w:rPr>
      </w:pPr>
      <w:r>
        <w:rPr>
          <w:sz w:val="16"/>
          <w:szCs w:val="16"/>
        </w:rPr>
        <w:t xml:space="preserve">Pour les salariés sans véhicule ou permis de conduire, possibilités de </w:t>
      </w:r>
      <w:proofErr w:type="spellStart"/>
      <w:r>
        <w:rPr>
          <w:sz w:val="16"/>
          <w:szCs w:val="16"/>
        </w:rPr>
        <w:t>co</w:t>
      </w:r>
      <w:proofErr w:type="spellEnd"/>
      <w:r>
        <w:rPr>
          <w:sz w:val="16"/>
          <w:szCs w:val="16"/>
        </w:rPr>
        <w:t xml:space="preserve"> voiturage.</w:t>
      </w:r>
    </w:p>
    <w:p w:rsidR="00DB2CF9" w:rsidRDefault="00DB2CF9">
      <w:pPr>
        <w:rPr>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8"/>
        <w:gridCol w:w="2276"/>
        <w:gridCol w:w="3417"/>
      </w:tblGrid>
      <w:tr w:rsidR="00DB2CF9" w:rsidTr="00B52C5C">
        <w:trPr>
          <w:trHeight w:val="2220"/>
          <w:jc w:val="center"/>
        </w:trPr>
        <w:tc>
          <w:tcPr>
            <w:tcW w:w="2708" w:type="dxa"/>
          </w:tcPr>
          <w:p w:rsidR="00DB2CF9" w:rsidRDefault="00DB2CF9" w:rsidP="00B52C5C">
            <w:pPr>
              <w:jc w:val="left"/>
              <w:rPr>
                <w:b/>
                <w:sz w:val="16"/>
                <w:szCs w:val="16"/>
              </w:rPr>
            </w:pPr>
          </w:p>
        </w:tc>
        <w:tc>
          <w:tcPr>
            <w:tcW w:w="2276" w:type="dxa"/>
          </w:tcPr>
          <w:p w:rsidR="00DB2CF9" w:rsidRDefault="00DB2CF9" w:rsidP="00B52C5C">
            <w:pPr>
              <w:jc w:val="center"/>
              <w:rPr>
                <w:b/>
                <w:sz w:val="16"/>
                <w:szCs w:val="16"/>
              </w:rPr>
            </w:pPr>
          </w:p>
        </w:tc>
        <w:tc>
          <w:tcPr>
            <w:tcW w:w="3417" w:type="dxa"/>
          </w:tcPr>
          <w:p w:rsidR="00DB2CF9" w:rsidRDefault="00DB2CF9" w:rsidP="00B52C5C">
            <w:pPr>
              <w:jc w:val="center"/>
              <w:rPr>
                <w:b/>
                <w:sz w:val="16"/>
                <w:szCs w:val="16"/>
              </w:rPr>
            </w:pPr>
          </w:p>
        </w:tc>
      </w:tr>
    </w:tbl>
    <w:p w:rsidR="00DB2CF9" w:rsidRPr="00A73FFE" w:rsidRDefault="00DB2CF9" w:rsidP="00DB2CF9">
      <w:pPr>
        <w:rPr>
          <w:sz w:val="20"/>
          <w:szCs w:val="20"/>
        </w:rPr>
      </w:pPr>
    </w:p>
    <w:p w:rsidR="00B04F8D" w:rsidRPr="00A73FFE" w:rsidRDefault="00283330">
      <w:pPr>
        <w:rPr>
          <w:sz w:val="20"/>
          <w:szCs w:val="20"/>
        </w:rPr>
      </w:pPr>
      <w:r>
        <w:rPr>
          <w:noProof/>
          <w:sz w:val="20"/>
          <w:szCs w:val="20"/>
          <w:lang w:eastAsia="fr-FR"/>
        </w:rPr>
        <w:drawing>
          <wp:anchor distT="0" distB="0" distL="114300" distR="114300" simplePos="0" relativeHeight="251660288" behindDoc="0" locked="0" layoutInCell="1" allowOverlap="1">
            <wp:simplePos x="0" y="0"/>
            <wp:positionH relativeFrom="column">
              <wp:posOffset>3728720</wp:posOffset>
            </wp:positionH>
            <wp:positionV relativeFrom="paragraph">
              <wp:posOffset>283845</wp:posOffset>
            </wp:positionV>
            <wp:extent cx="2200275" cy="619125"/>
            <wp:effectExtent l="19050" t="0" r="9525" b="0"/>
            <wp:wrapNone/>
            <wp:docPr id="4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200275" cy="61912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59264" behindDoc="0" locked="0" layoutInCell="1" allowOverlap="1">
            <wp:simplePos x="0" y="0"/>
            <wp:positionH relativeFrom="column">
              <wp:posOffset>2947670</wp:posOffset>
            </wp:positionH>
            <wp:positionV relativeFrom="paragraph">
              <wp:posOffset>283845</wp:posOffset>
            </wp:positionV>
            <wp:extent cx="628650" cy="476250"/>
            <wp:effectExtent l="1905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28650" cy="476250"/>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62336" behindDoc="0" locked="0" layoutInCell="1" allowOverlap="1">
            <wp:simplePos x="0" y="0"/>
            <wp:positionH relativeFrom="column">
              <wp:posOffset>1976120</wp:posOffset>
            </wp:positionH>
            <wp:positionV relativeFrom="paragraph">
              <wp:posOffset>321945</wp:posOffset>
            </wp:positionV>
            <wp:extent cx="714375" cy="438150"/>
            <wp:effectExtent l="19050" t="0" r="9525" b="0"/>
            <wp:wrapNone/>
            <wp:docPr id="3" name="Image 1" descr="ch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
                    <pic:cNvPicPr>
                      <a:picLocks noChangeAspect="1" noChangeArrowheads="1"/>
                    </pic:cNvPicPr>
                  </pic:nvPicPr>
                  <pic:blipFill>
                    <a:blip r:embed="rId8" cstate="print"/>
                    <a:srcRect/>
                    <a:stretch>
                      <a:fillRect/>
                    </a:stretch>
                  </pic:blipFill>
                  <pic:spPr bwMode="auto">
                    <a:xfrm>
                      <a:off x="0" y="0"/>
                      <a:ext cx="714375" cy="438150"/>
                    </a:xfrm>
                    <a:prstGeom prst="rect">
                      <a:avLst/>
                    </a:prstGeom>
                    <a:noFill/>
                    <a:ln w="9525">
                      <a:noFill/>
                      <a:miter lim="800000"/>
                      <a:headEnd/>
                      <a:tailEnd/>
                    </a:ln>
                  </pic:spPr>
                </pic:pic>
              </a:graphicData>
            </a:graphic>
          </wp:anchor>
        </w:drawing>
      </w:r>
      <w:r w:rsidR="006C31AD" w:rsidRPr="006C31AD">
        <w:rPr>
          <w:noProof/>
          <w:sz w:val="20"/>
          <w:szCs w:val="20"/>
          <w:lang w:eastAsia="fr-FR"/>
        </w:rPr>
        <w:drawing>
          <wp:anchor distT="0" distB="0" distL="114300" distR="114300" simplePos="0" relativeHeight="251661312" behindDoc="0" locked="0" layoutInCell="1" allowOverlap="1">
            <wp:simplePos x="0" y="0"/>
            <wp:positionH relativeFrom="column">
              <wp:posOffset>728345</wp:posOffset>
            </wp:positionH>
            <wp:positionV relativeFrom="paragraph">
              <wp:posOffset>350520</wp:posOffset>
            </wp:positionV>
            <wp:extent cx="981075" cy="323850"/>
            <wp:effectExtent l="19050" t="0" r="9525" b="0"/>
            <wp:wrapNone/>
            <wp:docPr id="2" name="Image 1" descr="Département de l'Aude"/>
            <wp:cNvGraphicFramePr/>
            <a:graphic xmlns:a="http://schemas.openxmlformats.org/drawingml/2006/main">
              <a:graphicData uri="http://schemas.openxmlformats.org/drawingml/2006/picture">
                <pic:pic xmlns:pic="http://schemas.openxmlformats.org/drawingml/2006/picture">
                  <pic:nvPicPr>
                    <pic:cNvPr id="1361" name="logo" descr="Département de l'Aude"/>
                    <pic:cNvPicPr>
                      <a:picLocks noChangeAspect="1" noChangeArrowheads="1"/>
                    </pic:cNvPicPr>
                  </pic:nvPicPr>
                  <pic:blipFill>
                    <a:blip r:embed="rId9" r:link="rId10"/>
                    <a:srcRect/>
                    <a:stretch>
                      <a:fillRect/>
                    </a:stretch>
                  </pic:blipFill>
                  <pic:spPr bwMode="auto">
                    <a:xfrm>
                      <a:off x="0" y="0"/>
                      <a:ext cx="981075" cy="323850"/>
                    </a:xfrm>
                    <a:prstGeom prst="rect">
                      <a:avLst/>
                    </a:prstGeom>
                    <a:noFill/>
                    <a:ln w="9525">
                      <a:noFill/>
                      <a:miter lim="800000"/>
                      <a:headEnd/>
                      <a:tailEnd/>
                    </a:ln>
                  </pic:spPr>
                </pic:pic>
              </a:graphicData>
            </a:graphic>
          </wp:anchor>
        </w:drawing>
      </w:r>
      <w:r w:rsidR="006C31AD" w:rsidRPr="006C31AD">
        <w:rPr>
          <w:noProof/>
          <w:sz w:val="20"/>
          <w:szCs w:val="20"/>
          <w:lang w:eastAsia="fr-FR"/>
        </w:rPr>
        <w:drawing>
          <wp:anchor distT="0" distB="0" distL="114300" distR="114300" simplePos="0" relativeHeight="251663360" behindDoc="0" locked="0" layoutInCell="1" allowOverlap="1">
            <wp:simplePos x="0" y="0"/>
            <wp:positionH relativeFrom="column">
              <wp:posOffset>-300355</wp:posOffset>
            </wp:positionH>
            <wp:positionV relativeFrom="paragraph">
              <wp:posOffset>217170</wp:posOffset>
            </wp:positionV>
            <wp:extent cx="828675" cy="581025"/>
            <wp:effectExtent l="19050" t="0" r="9525" b="0"/>
            <wp:wrapNone/>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r:link="rId12" cstate="print"/>
                    <a:srcRect/>
                    <a:stretch>
                      <a:fillRect/>
                    </a:stretch>
                  </pic:blipFill>
                  <pic:spPr bwMode="auto">
                    <a:xfrm>
                      <a:off x="0" y="0"/>
                      <a:ext cx="828675" cy="581025"/>
                    </a:xfrm>
                    <a:prstGeom prst="rect">
                      <a:avLst/>
                    </a:prstGeom>
                    <a:noFill/>
                  </pic:spPr>
                </pic:pic>
              </a:graphicData>
            </a:graphic>
          </wp:anchor>
        </w:drawing>
      </w:r>
    </w:p>
    <w:sectPr w:rsidR="00B04F8D" w:rsidRPr="00A73FFE" w:rsidSect="00DB2CF9">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66E89"/>
    <w:multiLevelType w:val="hybridMultilevel"/>
    <w:tmpl w:val="6B3C3D5E"/>
    <w:lvl w:ilvl="0" w:tplc="0D9C97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585"/>
    <w:rsid w:val="000416D8"/>
    <w:rsid w:val="00082529"/>
    <w:rsid w:val="00116908"/>
    <w:rsid w:val="001213E4"/>
    <w:rsid w:val="00142194"/>
    <w:rsid w:val="00174A2F"/>
    <w:rsid w:val="001C0BC1"/>
    <w:rsid w:val="001F5767"/>
    <w:rsid w:val="00221584"/>
    <w:rsid w:val="00277D80"/>
    <w:rsid w:val="00283330"/>
    <w:rsid w:val="002A0CEE"/>
    <w:rsid w:val="002D4F6F"/>
    <w:rsid w:val="003118CB"/>
    <w:rsid w:val="00333E54"/>
    <w:rsid w:val="00352AFA"/>
    <w:rsid w:val="004A6C42"/>
    <w:rsid w:val="005331B6"/>
    <w:rsid w:val="00566521"/>
    <w:rsid w:val="00584537"/>
    <w:rsid w:val="006210B5"/>
    <w:rsid w:val="006C31AD"/>
    <w:rsid w:val="0072392A"/>
    <w:rsid w:val="007A25D9"/>
    <w:rsid w:val="00821319"/>
    <w:rsid w:val="008239BD"/>
    <w:rsid w:val="0087548D"/>
    <w:rsid w:val="00891F9C"/>
    <w:rsid w:val="0098521D"/>
    <w:rsid w:val="009F690E"/>
    <w:rsid w:val="00A10DAE"/>
    <w:rsid w:val="00A626B8"/>
    <w:rsid w:val="00A73FFE"/>
    <w:rsid w:val="00A939DC"/>
    <w:rsid w:val="00AF3637"/>
    <w:rsid w:val="00AF5585"/>
    <w:rsid w:val="00B04F8D"/>
    <w:rsid w:val="00B47C8B"/>
    <w:rsid w:val="00C11FBC"/>
    <w:rsid w:val="00C824B6"/>
    <w:rsid w:val="00CB3D85"/>
    <w:rsid w:val="00DB2CF9"/>
    <w:rsid w:val="00E44258"/>
    <w:rsid w:val="00EA3EA8"/>
    <w:rsid w:val="00ED227F"/>
    <w:rsid w:val="00F141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3FFE"/>
    <w:pPr>
      <w:ind w:left="720"/>
      <w:contextualSpacing/>
    </w:pPr>
  </w:style>
  <w:style w:type="table" w:styleId="Grilledutableau">
    <w:name w:val="Table Grid"/>
    <w:basedOn w:val="TableauNormal"/>
    <w:uiPriority w:val="59"/>
    <w:rsid w:val="00A73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73FFE"/>
    <w:rPr>
      <w:rFonts w:ascii="Tahoma" w:hAnsi="Tahoma" w:cs="Tahoma"/>
      <w:sz w:val="16"/>
      <w:szCs w:val="16"/>
    </w:rPr>
  </w:style>
  <w:style w:type="character" w:customStyle="1" w:styleId="TextedebullesCar">
    <w:name w:val="Texte de bulles Car"/>
    <w:basedOn w:val="Policepardfaut"/>
    <w:link w:val="Textedebulles"/>
    <w:uiPriority w:val="99"/>
    <w:semiHidden/>
    <w:rsid w:val="00A73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http://www.fse.gouv.fr/IMG/jpg/sengag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http://www.aude.fr/images/GBI_CG11/logo.pn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Poulet</dc:creator>
  <cp:lastModifiedBy>CFPM</cp:lastModifiedBy>
  <cp:revision>10</cp:revision>
  <dcterms:created xsi:type="dcterms:W3CDTF">2015-10-01T07:45:00Z</dcterms:created>
  <dcterms:modified xsi:type="dcterms:W3CDTF">2018-02-09T12:43:00Z</dcterms:modified>
</cp:coreProperties>
</file>